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shd w:val="clear" w:color="auto" w:fill="FFFFFF"/>
        <w:tblCellMar>
          <w:left w:w="0" w:type="dxa"/>
          <w:right w:w="0" w:type="dxa"/>
        </w:tblCellMar>
        <w:tblLook w:val="04A0" w:firstRow="1" w:lastRow="0" w:firstColumn="1" w:lastColumn="0" w:noHBand="0" w:noVBand="1"/>
      </w:tblPr>
      <w:tblGrid>
        <w:gridCol w:w="4928"/>
        <w:gridCol w:w="4536"/>
      </w:tblGrid>
      <w:tr w:rsidR="00A10D0E" w:rsidRPr="00A10D0E" w:rsidTr="00A10D0E">
        <w:tc>
          <w:tcPr>
            <w:tcW w:w="4928" w:type="dxa"/>
            <w:shd w:val="clear" w:color="auto" w:fill="FFFFFF"/>
            <w:tcMar>
              <w:top w:w="0" w:type="dxa"/>
              <w:left w:w="108" w:type="dxa"/>
              <w:bottom w:w="0" w:type="dxa"/>
              <w:right w:w="108" w:type="dxa"/>
            </w:tcMar>
            <w:hideMark/>
          </w:tcPr>
          <w:p w:rsidR="00A10D0E" w:rsidRPr="00A10D0E" w:rsidRDefault="00A10D0E" w:rsidP="00816570">
            <w:pPr>
              <w:spacing w:after="120" w:line="240" w:lineRule="auto"/>
              <w:jc w:val="center"/>
              <w:rPr>
                <w:color w:val="333333"/>
                <w:szCs w:val="28"/>
              </w:rPr>
            </w:pPr>
            <w:r w:rsidRPr="00A10D0E">
              <w:rPr>
                <w:b/>
                <w:bCs/>
                <w:color w:val="333333"/>
                <w:szCs w:val="28"/>
              </w:rPr>
              <w:t>BAN CHẤP HÀNH TRUNG ƯƠNG </w:t>
            </w:r>
            <w:r w:rsidRPr="00A10D0E">
              <w:rPr>
                <w:b/>
                <w:bCs/>
                <w:color w:val="333333"/>
                <w:szCs w:val="28"/>
              </w:rPr>
              <w:br/>
            </w:r>
            <w:r w:rsidR="00816570">
              <w:rPr>
                <w:b/>
                <w:bCs/>
                <w:color w:val="333333"/>
                <w:szCs w:val="28"/>
              </w:rPr>
              <w:t>*</w:t>
            </w:r>
          </w:p>
        </w:tc>
        <w:tc>
          <w:tcPr>
            <w:tcW w:w="4536" w:type="dxa"/>
            <w:shd w:val="clear" w:color="auto" w:fill="FFFFFF"/>
            <w:tcMar>
              <w:top w:w="0" w:type="dxa"/>
              <w:left w:w="108" w:type="dxa"/>
              <w:bottom w:w="0" w:type="dxa"/>
              <w:right w:w="108" w:type="dxa"/>
            </w:tcMar>
            <w:hideMark/>
          </w:tcPr>
          <w:p w:rsidR="00A10D0E" w:rsidRPr="00A10D0E" w:rsidRDefault="00816570" w:rsidP="00816570">
            <w:pPr>
              <w:spacing w:after="120" w:line="240" w:lineRule="auto"/>
              <w:jc w:val="center"/>
              <w:rPr>
                <w:color w:val="333333"/>
                <w:szCs w:val="28"/>
              </w:rPr>
            </w:pPr>
            <w:r>
              <w:rPr>
                <w:b/>
                <w:bCs/>
                <w:noProof/>
                <w:color w:val="333333"/>
                <w:szCs w:val="28"/>
              </w:rPr>
              <mc:AlternateContent>
                <mc:Choice Requires="wps">
                  <w:drawing>
                    <wp:anchor distT="0" distB="0" distL="114300" distR="114300" simplePos="0" relativeHeight="251659264" behindDoc="0" locked="0" layoutInCell="1" allowOverlap="1">
                      <wp:simplePos x="0" y="0"/>
                      <wp:positionH relativeFrom="column">
                        <wp:posOffset>179705</wp:posOffset>
                      </wp:positionH>
                      <wp:positionV relativeFrom="paragraph">
                        <wp:posOffset>218391</wp:posOffset>
                      </wp:positionV>
                      <wp:extent cx="2384474" cy="14068"/>
                      <wp:effectExtent l="0" t="0" r="15875" b="24130"/>
                      <wp:wrapNone/>
                      <wp:docPr id="1" name="Straight Connector 1"/>
                      <wp:cNvGraphicFramePr/>
                      <a:graphic xmlns:a="http://schemas.openxmlformats.org/drawingml/2006/main">
                        <a:graphicData uri="http://schemas.microsoft.com/office/word/2010/wordprocessingShape">
                          <wps:wsp>
                            <wps:cNvCnPr/>
                            <wps:spPr>
                              <a:xfrm>
                                <a:off x="0" y="0"/>
                                <a:ext cx="2384474" cy="1406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15pt,17.2pt" to="201.9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" strokecolor="black [3040]"/>
                  </w:pict>
                </mc:Fallback>
              </mc:AlternateContent>
            </w:r>
            <w:r w:rsidR="00A10D0E" w:rsidRPr="00A10D0E">
              <w:rPr>
                <w:b/>
                <w:bCs/>
                <w:color w:val="333333"/>
                <w:szCs w:val="28"/>
              </w:rPr>
              <w:t>ĐẢNG CỘNG SẢN VIỆT NAM</w:t>
            </w:r>
            <w:r w:rsidR="00A10D0E" w:rsidRPr="00A10D0E">
              <w:rPr>
                <w:b/>
                <w:bCs/>
                <w:color w:val="333333"/>
                <w:szCs w:val="28"/>
              </w:rPr>
              <w:br/>
            </w:r>
          </w:p>
        </w:tc>
      </w:tr>
      <w:tr w:rsidR="00A10D0E" w:rsidRPr="00A10D0E" w:rsidTr="00A10D0E">
        <w:tc>
          <w:tcPr>
            <w:tcW w:w="4928" w:type="dxa"/>
            <w:shd w:val="clear" w:color="auto" w:fill="FFFFFF"/>
            <w:tcMar>
              <w:top w:w="0" w:type="dxa"/>
              <w:left w:w="108" w:type="dxa"/>
              <w:bottom w:w="0" w:type="dxa"/>
              <w:right w:w="108" w:type="dxa"/>
            </w:tcMar>
            <w:hideMark/>
          </w:tcPr>
          <w:p w:rsidR="00A10D0E" w:rsidRPr="00A10D0E" w:rsidRDefault="00A10D0E" w:rsidP="00A10D0E">
            <w:pPr>
              <w:spacing w:after="120" w:line="240" w:lineRule="auto"/>
              <w:jc w:val="center"/>
              <w:rPr>
                <w:color w:val="333333"/>
                <w:szCs w:val="28"/>
              </w:rPr>
            </w:pPr>
            <w:r w:rsidRPr="00A10D0E">
              <w:rPr>
                <w:color w:val="333333"/>
                <w:szCs w:val="28"/>
              </w:rPr>
              <w:t>Số: 256-QĐ/TW</w:t>
            </w:r>
          </w:p>
        </w:tc>
        <w:tc>
          <w:tcPr>
            <w:tcW w:w="4536" w:type="dxa"/>
            <w:shd w:val="clear" w:color="auto" w:fill="FFFFFF"/>
            <w:tcMar>
              <w:top w:w="0" w:type="dxa"/>
              <w:left w:w="108" w:type="dxa"/>
              <w:bottom w:w="0" w:type="dxa"/>
              <w:right w:w="108" w:type="dxa"/>
            </w:tcMar>
            <w:hideMark/>
          </w:tcPr>
          <w:p w:rsidR="00A10D0E" w:rsidRPr="00A10D0E" w:rsidRDefault="00A10D0E" w:rsidP="00A10D0E">
            <w:pPr>
              <w:spacing w:after="120" w:line="240" w:lineRule="auto"/>
              <w:jc w:val="both"/>
              <w:rPr>
                <w:color w:val="333333"/>
                <w:szCs w:val="28"/>
              </w:rPr>
            </w:pPr>
            <w:r w:rsidRPr="00A10D0E">
              <w:rPr>
                <w:i/>
                <w:iCs/>
                <w:color w:val="333333"/>
                <w:szCs w:val="28"/>
              </w:rPr>
              <w:t>Hà Nội, ngày 16 tháng 9 năm 2009</w:t>
            </w:r>
          </w:p>
        </w:tc>
      </w:tr>
    </w:tbl>
    <w:p w:rsidR="00A10D0E" w:rsidRPr="00A10D0E" w:rsidRDefault="00A10D0E" w:rsidP="00A10D0E">
      <w:pPr>
        <w:shd w:val="clear" w:color="auto" w:fill="FFFFFF"/>
        <w:spacing w:after="120" w:line="240" w:lineRule="auto"/>
        <w:jc w:val="both"/>
        <w:rPr>
          <w:color w:val="333333"/>
          <w:szCs w:val="28"/>
        </w:rPr>
      </w:pPr>
      <w:r w:rsidRPr="00A10D0E">
        <w:rPr>
          <w:color w:val="333333"/>
          <w:szCs w:val="28"/>
        </w:rPr>
        <w:t> </w:t>
      </w:r>
    </w:p>
    <w:p w:rsidR="00A10D0E" w:rsidRPr="00A10D0E" w:rsidRDefault="00A10D0E" w:rsidP="00566C56">
      <w:pPr>
        <w:shd w:val="clear" w:color="auto" w:fill="FFFFFF"/>
        <w:spacing w:after="120" w:line="240" w:lineRule="auto"/>
        <w:jc w:val="center"/>
        <w:rPr>
          <w:color w:val="333333"/>
          <w:szCs w:val="28"/>
        </w:rPr>
      </w:pPr>
      <w:r w:rsidRPr="00A10D0E">
        <w:rPr>
          <w:b/>
          <w:bCs/>
          <w:color w:val="333333"/>
          <w:szCs w:val="28"/>
        </w:rPr>
        <w:t>QUY ĐỊNH</w:t>
      </w:r>
    </w:p>
    <w:p w:rsidR="00A10D0E" w:rsidRPr="00A10D0E" w:rsidRDefault="00A10D0E" w:rsidP="00566C56">
      <w:pPr>
        <w:shd w:val="clear" w:color="auto" w:fill="FFFFFF"/>
        <w:spacing w:after="120" w:line="240" w:lineRule="auto"/>
        <w:jc w:val="center"/>
        <w:rPr>
          <w:color w:val="333333"/>
          <w:szCs w:val="28"/>
        </w:rPr>
      </w:pPr>
      <w:r w:rsidRPr="00A10D0E">
        <w:rPr>
          <w:color w:val="333333"/>
          <w:szCs w:val="28"/>
        </w:rPr>
        <w:t>VỀ VIỆC XÁC ĐỊNH TRÌNH ĐỘ LÝ LUẬN CHÍNH TRỊ ĐỐI VỚI CÁN BỘ, ĐẢNG VIÊN ĐÃ HỌC LÝ LUẬN CHÍNH TRỊ Ở CÁC CƠ SỞ ĐÀO TẠO NGOÀI HỆ THỐNG TRƯỜNG CHÍNH TRỊ CỦA ĐẢNG HOẶC ĐẠI HỌC CHÍNH TRỊ CHUYÊN NGÀNH VÀ SAU ĐẠI HỌC TẠI HỌC VIỆN CHÍNH TRỊ - HÀNH CHÍNH QUỐC GIA HỒ CHÍ MINH</w:t>
      </w:r>
    </w:p>
    <w:p w:rsidR="00A10D0E" w:rsidRPr="00A10D0E" w:rsidRDefault="00A10D0E" w:rsidP="00816570">
      <w:pPr>
        <w:shd w:val="clear" w:color="auto" w:fill="FFFFFF"/>
        <w:spacing w:after="120" w:line="240" w:lineRule="auto"/>
        <w:ind w:firstLine="720"/>
        <w:jc w:val="both"/>
        <w:rPr>
          <w:color w:val="333333"/>
          <w:szCs w:val="28"/>
        </w:rPr>
      </w:pPr>
      <w:r w:rsidRPr="00A10D0E">
        <w:rPr>
          <w:i/>
          <w:iCs/>
          <w:color w:val="333333"/>
          <w:szCs w:val="28"/>
        </w:rPr>
        <w:t>- Căn cứ Quy định số 54-QĐ/TW, ngày 12-5-1999 của Bộ Chính trị (khoá VIII) về “Chế độ học tập lý luận chính trị trong Đảng'' và các chỉ thị, nghị quyết của Trung ương về đào tạo, bồi dưỡng cán bộ;</w:t>
      </w:r>
    </w:p>
    <w:p w:rsidR="00A10D0E" w:rsidRPr="00A10D0E" w:rsidRDefault="00A10D0E" w:rsidP="00816570">
      <w:pPr>
        <w:shd w:val="clear" w:color="auto" w:fill="FFFFFF"/>
        <w:spacing w:after="120" w:line="240" w:lineRule="auto"/>
        <w:ind w:firstLine="720"/>
        <w:jc w:val="both"/>
        <w:rPr>
          <w:color w:val="333333"/>
          <w:szCs w:val="28"/>
        </w:rPr>
      </w:pPr>
      <w:r w:rsidRPr="00A10D0E">
        <w:rPr>
          <w:i/>
          <w:iCs/>
          <w:color w:val="333333"/>
          <w:szCs w:val="28"/>
        </w:rPr>
        <w:t>- Căn cứ tình hình đào tạo, bồi dưỡng lý luận chính trị của các cơ sở đào tạo trong và ngoài hệ thống trường chính trị của Đảng;</w:t>
      </w:r>
    </w:p>
    <w:p w:rsidR="00A10D0E" w:rsidRPr="00A10D0E" w:rsidRDefault="00A10D0E" w:rsidP="00816570">
      <w:pPr>
        <w:shd w:val="clear" w:color="auto" w:fill="FFFFFF"/>
        <w:spacing w:after="120" w:line="240" w:lineRule="auto"/>
        <w:ind w:firstLine="720"/>
        <w:jc w:val="both"/>
        <w:rPr>
          <w:color w:val="333333"/>
          <w:szCs w:val="28"/>
        </w:rPr>
      </w:pPr>
      <w:r w:rsidRPr="00A10D0E">
        <w:rPr>
          <w:i/>
          <w:iCs/>
          <w:color w:val="333333"/>
          <w:szCs w:val="28"/>
        </w:rPr>
        <w:t>- Xét đề nghị của Ban Tổ chức Trung ương và Học viện Chính trị - Hành chính quốc gia Hồ Chí Minh,</w:t>
      </w:r>
    </w:p>
    <w:p w:rsidR="00A10D0E" w:rsidRPr="00A10D0E" w:rsidRDefault="00A10D0E" w:rsidP="00566C56">
      <w:pPr>
        <w:shd w:val="clear" w:color="auto" w:fill="FFFFFF"/>
        <w:spacing w:after="120" w:line="240" w:lineRule="auto"/>
        <w:jc w:val="center"/>
        <w:rPr>
          <w:color w:val="333333"/>
          <w:szCs w:val="28"/>
        </w:rPr>
      </w:pPr>
      <w:r w:rsidRPr="00A10D0E">
        <w:rPr>
          <w:b/>
          <w:bCs/>
          <w:color w:val="333333"/>
          <w:szCs w:val="28"/>
        </w:rPr>
        <w:t>BAN BÍ THƯ QUY ĐỊNH</w:t>
      </w:r>
    </w:p>
    <w:p w:rsidR="00A10D0E" w:rsidRPr="00A10D0E" w:rsidRDefault="00A10D0E" w:rsidP="00816570">
      <w:pPr>
        <w:shd w:val="clear" w:color="auto" w:fill="FFFFFF"/>
        <w:spacing w:after="120" w:line="240" w:lineRule="auto"/>
        <w:ind w:firstLine="720"/>
        <w:jc w:val="both"/>
        <w:rPr>
          <w:color w:val="333333"/>
          <w:szCs w:val="28"/>
        </w:rPr>
      </w:pPr>
      <w:r w:rsidRPr="00A10D0E">
        <w:rPr>
          <w:b/>
          <w:bCs/>
          <w:color w:val="333333"/>
          <w:szCs w:val="28"/>
        </w:rPr>
        <w:t>Điều 1. Mục đích của việc xác định</w:t>
      </w:r>
    </w:p>
    <w:p w:rsidR="00A10D0E" w:rsidRPr="00A10D0E" w:rsidRDefault="00A10D0E" w:rsidP="00816570">
      <w:pPr>
        <w:shd w:val="clear" w:color="auto" w:fill="FFFFFF"/>
        <w:spacing w:after="120" w:line="240" w:lineRule="auto"/>
        <w:ind w:firstLine="720"/>
        <w:jc w:val="both"/>
        <w:rPr>
          <w:color w:val="333333"/>
          <w:szCs w:val="28"/>
        </w:rPr>
      </w:pPr>
      <w:r w:rsidRPr="00A10D0E">
        <w:rPr>
          <w:color w:val="333333"/>
          <w:szCs w:val="28"/>
        </w:rPr>
        <w:t>Việc xác định trình độ lý luận chính trị đối với cán bộ, đảng viên nhằm bảo sự thống nhất về tiêu chuẩn trình độ lý luận chính trị trong Đảng; làm cơ sở xây dựng và thực hiện kế hoạch đào tạo, bồi dưỡng, cập nhật kiến thức về lý luận chính trị và thực hiện chính sách đối với cán bộ, đảng viên.</w:t>
      </w:r>
    </w:p>
    <w:p w:rsidR="00A10D0E" w:rsidRPr="00A10D0E" w:rsidRDefault="00A10D0E" w:rsidP="00816570">
      <w:pPr>
        <w:shd w:val="clear" w:color="auto" w:fill="FFFFFF"/>
        <w:spacing w:after="120" w:line="240" w:lineRule="auto"/>
        <w:ind w:firstLine="720"/>
        <w:jc w:val="both"/>
        <w:rPr>
          <w:color w:val="333333"/>
          <w:szCs w:val="28"/>
        </w:rPr>
      </w:pPr>
      <w:r w:rsidRPr="00A10D0E">
        <w:rPr>
          <w:b/>
          <w:bCs/>
          <w:color w:val="333333"/>
          <w:szCs w:val="28"/>
        </w:rPr>
        <w:t>Điều 2. Đối tượng xác định</w:t>
      </w:r>
    </w:p>
    <w:p w:rsidR="00A10D0E" w:rsidRDefault="00A10D0E" w:rsidP="00816570">
      <w:pPr>
        <w:shd w:val="clear" w:color="auto" w:fill="FFFFFF"/>
        <w:spacing w:after="120" w:line="240" w:lineRule="auto"/>
        <w:ind w:firstLine="720"/>
        <w:jc w:val="both"/>
        <w:rPr>
          <w:color w:val="333333"/>
          <w:szCs w:val="28"/>
        </w:rPr>
      </w:pPr>
      <w:r w:rsidRPr="00A10D0E">
        <w:rPr>
          <w:color w:val="333333"/>
          <w:szCs w:val="28"/>
        </w:rPr>
        <w:t>Là cán bộ, đảng viên đã học lý luận chính trị ở các trường ngoài hệ thống trường chính trị của Đảng hoặc đã học đại học chính trị chuyên ngành và sau đại học tại Học viện Chính trị - Hành chính quốc gia Hồ Chí Minh, nay có nhu cầu được xác định trình độ lý luận chính trị.</w:t>
      </w:r>
    </w:p>
    <w:p w:rsidR="00566C56" w:rsidRPr="00A10D0E" w:rsidRDefault="00566C56" w:rsidP="00816570">
      <w:pPr>
        <w:shd w:val="clear" w:color="auto" w:fill="FFFFFF"/>
        <w:spacing w:after="120" w:line="240" w:lineRule="auto"/>
        <w:ind w:firstLine="720"/>
        <w:jc w:val="both"/>
        <w:rPr>
          <w:b/>
          <w:color w:val="333333"/>
          <w:szCs w:val="28"/>
        </w:rPr>
      </w:pPr>
      <w:r w:rsidRPr="00566C56">
        <w:rPr>
          <w:b/>
          <w:color w:val="333333"/>
          <w:szCs w:val="28"/>
        </w:rPr>
        <w:t>Điều 3. Nguyên tắc xác định</w:t>
      </w:r>
    </w:p>
    <w:p w:rsidR="00A10D0E" w:rsidRDefault="00A10D0E" w:rsidP="00816570">
      <w:pPr>
        <w:shd w:val="clear" w:color="auto" w:fill="FFFFFF"/>
        <w:spacing w:after="120" w:line="240" w:lineRule="auto"/>
        <w:ind w:firstLine="720"/>
        <w:jc w:val="both"/>
        <w:rPr>
          <w:color w:val="333333"/>
          <w:szCs w:val="28"/>
        </w:rPr>
      </w:pPr>
      <w:r w:rsidRPr="00A10D0E">
        <w:rPr>
          <w:color w:val="333333"/>
          <w:szCs w:val="28"/>
        </w:rPr>
        <w:t>Lấy nội dung chương trình sơ cấp, trung cấp, cao cấp lý luận chính trị hiện hành của hệ thống trường chính trị của Đảng (trung tâm bồi dưỡng chính trị cấp huyện; trường chính trị cấp tỉnh, Học viện Chính trị - Hành chính quốc gia Hồ Chí Minh) làm chuẩn để đối chiếu với nội dung, chương trình lý luận chính trị (số môn, số tiết) đã được học của cán bộ, đảng viên.</w:t>
      </w:r>
    </w:p>
    <w:p w:rsidR="00566C56" w:rsidRPr="00A10D0E" w:rsidRDefault="00566C56" w:rsidP="00816570">
      <w:pPr>
        <w:shd w:val="clear" w:color="auto" w:fill="FFFFFF"/>
        <w:spacing w:after="120" w:line="240" w:lineRule="auto"/>
        <w:ind w:firstLine="720"/>
        <w:jc w:val="both"/>
        <w:rPr>
          <w:b/>
          <w:color w:val="333333"/>
          <w:szCs w:val="28"/>
        </w:rPr>
      </w:pPr>
      <w:r w:rsidRPr="00566C56">
        <w:rPr>
          <w:b/>
          <w:color w:val="333333"/>
          <w:szCs w:val="28"/>
        </w:rPr>
        <w:t>Điều 4. Thẩm quyền, trách nhiệm xác định</w:t>
      </w:r>
    </w:p>
    <w:p w:rsidR="00A10D0E" w:rsidRPr="00A10D0E" w:rsidRDefault="00A10D0E" w:rsidP="00816570">
      <w:pPr>
        <w:shd w:val="clear" w:color="auto" w:fill="FFFFFF"/>
        <w:spacing w:after="120" w:line="240" w:lineRule="auto"/>
        <w:ind w:firstLine="720"/>
        <w:jc w:val="both"/>
        <w:rPr>
          <w:color w:val="333333"/>
          <w:szCs w:val="28"/>
        </w:rPr>
      </w:pPr>
      <w:r w:rsidRPr="00A10D0E">
        <w:rPr>
          <w:color w:val="333333"/>
          <w:szCs w:val="28"/>
        </w:rPr>
        <w:t xml:space="preserve">- Ban tổ chức của cấp uỷ cấp huyện và tương đương; ban tổ chức của cấp uỷ cấp tỉnh và tương đương; cơ quan tổ chức cán bộ của các ban, cơ quan đảng, đoàn thể, bộ, ngành và tương đương ở Trung ương có trách nhiệm lập danh sách cán bộ, </w:t>
      </w:r>
      <w:r w:rsidRPr="00A10D0E">
        <w:rPr>
          <w:color w:val="333333"/>
          <w:szCs w:val="28"/>
        </w:rPr>
        <w:lastRenderedPageBreak/>
        <w:t>đảng viên có yêu cầu đề nghị xác định trình độ lý luận chính trị và chuyển đến cơ sở đào tạo theo phân cấp đối tượng và địa bàn đào tạo.</w:t>
      </w:r>
    </w:p>
    <w:p w:rsidR="00A10D0E" w:rsidRPr="00A10D0E" w:rsidRDefault="00A10D0E" w:rsidP="00816570">
      <w:pPr>
        <w:shd w:val="clear" w:color="auto" w:fill="FFFFFF"/>
        <w:spacing w:after="120" w:line="240" w:lineRule="auto"/>
        <w:ind w:firstLine="720"/>
        <w:jc w:val="both"/>
        <w:rPr>
          <w:color w:val="333333"/>
          <w:szCs w:val="28"/>
        </w:rPr>
      </w:pPr>
      <w:r w:rsidRPr="00A10D0E">
        <w:rPr>
          <w:color w:val="333333"/>
          <w:szCs w:val="28"/>
        </w:rPr>
        <w:t>- Trên cơ sở danh sách đề nghị của ban tổ chức cấp uỷ các cấp, cơ quan tổ chức cán bộ của các ban, cơ quan đảng, đoàn thể, bộ, ngành và tương đương ở Trung ương, các cơ sở đào tạo (Trung tâm bồi dưỡng chính trị cấp huyện, trường chính trị cấp tỉnh, Học viện Chính trị - Hành chính quốc gia Hồ Chí Minh) chịu trách nhiệm thẩm định, cấp giấy xác nhận. Nếu nội dung, chương trình đã học tương đương với chương trình nào thì căn cứ vào đó để cấp giấy xác nhận trình độ lý luận chính trị.</w:t>
      </w:r>
    </w:p>
    <w:p w:rsidR="00A10D0E" w:rsidRPr="00A10D0E" w:rsidRDefault="00A10D0E" w:rsidP="00816570">
      <w:pPr>
        <w:shd w:val="clear" w:color="auto" w:fill="FFFFFF"/>
        <w:spacing w:after="120" w:line="240" w:lineRule="auto"/>
        <w:ind w:firstLine="720"/>
        <w:jc w:val="both"/>
        <w:rPr>
          <w:color w:val="333333"/>
          <w:szCs w:val="28"/>
        </w:rPr>
      </w:pPr>
      <w:r w:rsidRPr="00A10D0E">
        <w:rPr>
          <w:color w:val="333333"/>
          <w:szCs w:val="28"/>
        </w:rPr>
        <w:t>- Các trường hợp đã được xác định trình độ lý luận chính trị theo Quy định số 12-QĐ/TC-TT-VHTW, ngày 09-01-2004 của Ban Tổ chức Trung ương và Ban Tư tưởng - Văn hoá Trung ương (nay là Ban Tuyên giáo Trung ương) cho đến thời điểm Quy định này có hiệu lực thì không tiến hành xác định lại.</w:t>
      </w:r>
    </w:p>
    <w:p w:rsidR="00A10D0E" w:rsidRDefault="00A10D0E" w:rsidP="00816570">
      <w:pPr>
        <w:shd w:val="clear" w:color="auto" w:fill="FFFFFF"/>
        <w:spacing w:after="120" w:line="240" w:lineRule="auto"/>
        <w:ind w:firstLine="720"/>
        <w:jc w:val="both"/>
        <w:rPr>
          <w:color w:val="333333"/>
          <w:szCs w:val="28"/>
        </w:rPr>
      </w:pPr>
      <w:r w:rsidRPr="00A10D0E">
        <w:rPr>
          <w:color w:val="333333"/>
          <w:szCs w:val="28"/>
        </w:rPr>
        <w:t>- Việc đối chiếu, xem xét, xác định trình độ lý luận chính trị được tiến hành theo định kỳ, mỗi năm một lần. Mẫu giấy xác nhận trình độ lý luận chính trị do Học viện Chính trị - Hành chính quốc gia Hồ Chí Minh quy định, hướng dẫn thực hiện thống nhất trong phạm vi toàn quốc.</w:t>
      </w:r>
    </w:p>
    <w:p w:rsidR="00566C56" w:rsidRPr="00816570" w:rsidRDefault="00566C56" w:rsidP="00816570">
      <w:pPr>
        <w:shd w:val="clear" w:color="auto" w:fill="FFFFFF"/>
        <w:spacing w:after="120" w:line="240" w:lineRule="auto"/>
        <w:ind w:firstLine="720"/>
        <w:jc w:val="both"/>
        <w:rPr>
          <w:b/>
          <w:color w:val="333333"/>
          <w:szCs w:val="28"/>
        </w:rPr>
      </w:pPr>
      <w:r w:rsidRPr="00816570">
        <w:rPr>
          <w:b/>
          <w:color w:val="333333"/>
          <w:szCs w:val="28"/>
        </w:rPr>
        <w:t>Điều 5. Giá trị của Giấy xác nhận</w:t>
      </w:r>
    </w:p>
    <w:p w:rsidR="00A10D0E" w:rsidRPr="00A10D0E" w:rsidRDefault="00A10D0E" w:rsidP="00816570">
      <w:pPr>
        <w:shd w:val="clear" w:color="auto" w:fill="FFFFFF"/>
        <w:spacing w:after="120" w:line="240" w:lineRule="auto"/>
        <w:ind w:firstLine="720"/>
        <w:jc w:val="both"/>
        <w:rPr>
          <w:color w:val="333333"/>
          <w:szCs w:val="28"/>
        </w:rPr>
      </w:pPr>
      <w:r w:rsidRPr="00A10D0E">
        <w:rPr>
          <w:color w:val="333333"/>
          <w:szCs w:val="28"/>
        </w:rPr>
        <w:t>- Giấy xác nhận trình độ lý luận chính trị đối với cán bộ, đảng viên đã học lý luận chính trị ở các trường ngoài hệ thống trường chính trị của đảng được ghi trong hồ sơ lý lịch của cán bộ, đảng viên và được công nhận là tương đương với tiêu chuẩn về lý luận chính trị khi xét dự thi nâng ngạch công chức.</w:t>
      </w:r>
    </w:p>
    <w:p w:rsidR="00A10D0E" w:rsidRPr="00A10D0E" w:rsidRDefault="00A10D0E" w:rsidP="00816570">
      <w:pPr>
        <w:shd w:val="clear" w:color="auto" w:fill="FFFFFF"/>
        <w:spacing w:after="120" w:line="240" w:lineRule="auto"/>
        <w:ind w:firstLine="720"/>
        <w:jc w:val="both"/>
        <w:rPr>
          <w:color w:val="333333"/>
          <w:szCs w:val="28"/>
        </w:rPr>
      </w:pPr>
      <w:r w:rsidRPr="00A10D0E">
        <w:rPr>
          <w:color w:val="333333"/>
          <w:szCs w:val="28"/>
        </w:rPr>
        <w:t>- Giấy xác nhận trình độ lý luận chính trị đối với cán bộ, đảng viên đã học đại học chính trị chuyên ngành và sau đại học tại Học viện Chính trị - Hành chính quốc gia Hồ Chí Minh được ghi trong hồ sơ lý lịch của cán bộ, đảng viên và được công nhận là tương đương với tiêu chuẩn về lý luận chính trị khi xét dự thi nâng ngạch công chức, quy hoạch, đề bạt, b</w:t>
      </w:r>
      <w:bookmarkStart w:id="0" w:name="_GoBack"/>
      <w:bookmarkEnd w:id="0"/>
      <w:r w:rsidRPr="00A10D0E">
        <w:rPr>
          <w:color w:val="333333"/>
          <w:szCs w:val="28"/>
        </w:rPr>
        <w:t>ổ nhiệm cán bộ lãnh đạo, quản lý.</w:t>
      </w:r>
    </w:p>
    <w:p w:rsidR="00A10D0E" w:rsidRPr="00A10D0E" w:rsidRDefault="00A10D0E" w:rsidP="00816570">
      <w:pPr>
        <w:shd w:val="clear" w:color="auto" w:fill="FFFFFF"/>
        <w:spacing w:after="120" w:line="240" w:lineRule="auto"/>
        <w:ind w:firstLine="720"/>
        <w:jc w:val="both"/>
        <w:rPr>
          <w:color w:val="333333"/>
          <w:szCs w:val="28"/>
        </w:rPr>
      </w:pPr>
      <w:r w:rsidRPr="00A10D0E">
        <w:rPr>
          <w:b/>
          <w:bCs/>
          <w:color w:val="333333"/>
          <w:szCs w:val="28"/>
        </w:rPr>
        <w:t>Điều 6. Hiệu lực thi hành</w:t>
      </w:r>
    </w:p>
    <w:p w:rsidR="00A10D0E" w:rsidRPr="00A10D0E" w:rsidRDefault="00A10D0E" w:rsidP="00816570">
      <w:pPr>
        <w:shd w:val="clear" w:color="auto" w:fill="FFFFFF"/>
        <w:spacing w:after="120" w:line="240" w:lineRule="auto"/>
        <w:ind w:firstLine="720"/>
        <w:jc w:val="both"/>
        <w:rPr>
          <w:color w:val="333333"/>
          <w:szCs w:val="28"/>
        </w:rPr>
      </w:pPr>
      <w:r w:rsidRPr="00A10D0E">
        <w:rPr>
          <w:color w:val="333333"/>
          <w:szCs w:val="28"/>
        </w:rPr>
        <w:t>Quy định này thay thế các quy định trước đây có liên quan đến xác định trình độ lý luận chính trị và được thực hiện kể từ ngày ký./.</w:t>
      </w:r>
    </w:p>
    <w:p w:rsidR="00A10D0E" w:rsidRPr="00A10D0E" w:rsidRDefault="00A10D0E" w:rsidP="00A10D0E">
      <w:pPr>
        <w:shd w:val="clear" w:color="auto" w:fill="FFFFFF"/>
        <w:spacing w:after="120" w:line="240" w:lineRule="auto"/>
        <w:jc w:val="both"/>
        <w:rPr>
          <w:color w:val="333333"/>
          <w:szCs w:val="28"/>
        </w:rPr>
      </w:pPr>
      <w:r w:rsidRPr="00A10D0E">
        <w:rPr>
          <w:color w:val="333333"/>
          <w:szCs w:val="28"/>
        </w:rPr>
        <w:t> </w:t>
      </w:r>
    </w:p>
    <w:tbl>
      <w:tblPr>
        <w:tblW w:w="9464" w:type="dxa"/>
        <w:shd w:val="clear" w:color="auto" w:fill="FFFFFF"/>
        <w:tblCellMar>
          <w:left w:w="0" w:type="dxa"/>
          <w:right w:w="0" w:type="dxa"/>
        </w:tblCellMar>
        <w:tblLook w:val="04A0" w:firstRow="1" w:lastRow="0" w:firstColumn="1" w:lastColumn="0" w:noHBand="0" w:noVBand="1"/>
      </w:tblPr>
      <w:tblGrid>
        <w:gridCol w:w="3356"/>
        <w:gridCol w:w="6108"/>
      </w:tblGrid>
      <w:tr w:rsidR="00A10D0E" w:rsidRPr="00A10D0E" w:rsidTr="00A10D0E">
        <w:tc>
          <w:tcPr>
            <w:tcW w:w="3356" w:type="dxa"/>
            <w:shd w:val="clear" w:color="auto" w:fill="FFFFFF"/>
            <w:tcMar>
              <w:top w:w="0" w:type="dxa"/>
              <w:left w:w="108" w:type="dxa"/>
              <w:bottom w:w="0" w:type="dxa"/>
              <w:right w:w="108" w:type="dxa"/>
            </w:tcMar>
            <w:hideMark/>
          </w:tcPr>
          <w:p w:rsidR="00A10D0E" w:rsidRPr="00A10D0E" w:rsidRDefault="00A10D0E" w:rsidP="00A10D0E">
            <w:pPr>
              <w:spacing w:after="120" w:line="240" w:lineRule="auto"/>
              <w:jc w:val="both"/>
              <w:rPr>
                <w:color w:val="333333"/>
                <w:szCs w:val="28"/>
              </w:rPr>
            </w:pPr>
            <w:r w:rsidRPr="00A10D0E">
              <w:rPr>
                <w:b/>
                <w:bCs/>
                <w:color w:val="333333"/>
                <w:szCs w:val="28"/>
              </w:rPr>
              <w:t> </w:t>
            </w:r>
          </w:p>
        </w:tc>
        <w:tc>
          <w:tcPr>
            <w:tcW w:w="6108" w:type="dxa"/>
            <w:shd w:val="clear" w:color="auto" w:fill="FFFFFF"/>
            <w:tcMar>
              <w:top w:w="0" w:type="dxa"/>
              <w:left w:w="108" w:type="dxa"/>
              <w:bottom w:w="0" w:type="dxa"/>
              <w:right w:w="108" w:type="dxa"/>
            </w:tcMar>
            <w:hideMark/>
          </w:tcPr>
          <w:p w:rsidR="00A10D0E" w:rsidRPr="00A10D0E" w:rsidRDefault="00A10D0E" w:rsidP="00A10D0E">
            <w:pPr>
              <w:spacing w:after="120" w:line="240" w:lineRule="auto"/>
              <w:jc w:val="center"/>
              <w:rPr>
                <w:color w:val="333333"/>
                <w:szCs w:val="28"/>
              </w:rPr>
            </w:pPr>
            <w:r w:rsidRPr="00A10D0E">
              <w:rPr>
                <w:b/>
                <w:bCs/>
                <w:color w:val="333333"/>
                <w:szCs w:val="28"/>
              </w:rPr>
              <w:t>T/M BAN BÍ THƯ</w:t>
            </w:r>
            <w:r w:rsidRPr="00A10D0E">
              <w:rPr>
                <w:b/>
                <w:bCs/>
                <w:color w:val="333333"/>
                <w:szCs w:val="28"/>
              </w:rPr>
              <w:br/>
            </w:r>
            <w:r w:rsidRPr="00A10D0E">
              <w:rPr>
                <w:b/>
                <w:bCs/>
                <w:color w:val="333333"/>
                <w:szCs w:val="28"/>
              </w:rPr>
              <w:br/>
            </w:r>
            <w:r w:rsidRPr="00A10D0E">
              <w:rPr>
                <w:b/>
                <w:bCs/>
                <w:color w:val="333333"/>
                <w:szCs w:val="28"/>
              </w:rPr>
              <w:br/>
            </w:r>
            <w:r w:rsidRPr="00A10D0E">
              <w:rPr>
                <w:b/>
                <w:bCs/>
                <w:color w:val="333333"/>
                <w:szCs w:val="28"/>
              </w:rPr>
              <w:br/>
            </w:r>
            <w:r w:rsidRPr="00A10D0E">
              <w:rPr>
                <w:b/>
                <w:bCs/>
                <w:color w:val="333333"/>
                <w:szCs w:val="28"/>
              </w:rPr>
              <w:br/>
              <w:t>Trương Tấn Sang</w:t>
            </w:r>
          </w:p>
        </w:tc>
      </w:tr>
    </w:tbl>
    <w:p w:rsidR="00C75A15" w:rsidRPr="00A10D0E" w:rsidRDefault="00C75A15" w:rsidP="00A10D0E">
      <w:pPr>
        <w:jc w:val="both"/>
        <w:rPr>
          <w:szCs w:val="28"/>
        </w:rPr>
      </w:pPr>
    </w:p>
    <w:sectPr w:rsidR="00C75A15" w:rsidRPr="00A10D0E" w:rsidSect="00A10D0E">
      <w:pgSz w:w="11907" w:h="16840" w:code="9"/>
      <w:pgMar w:top="1134" w:right="851"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6106"/>
    <w:rsid w:val="00566C56"/>
    <w:rsid w:val="00655E23"/>
    <w:rsid w:val="00795CD5"/>
    <w:rsid w:val="00816570"/>
    <w:rsid w:val="00A10D0E"/>
    <w:rsid w:val="00C75A15"/>
    <w:rsid w:val="00F561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4507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631</Words>
  <Characters>3601</Characters>
  <Application>Microsoft Office Word</Application>
  <DocSecurity>0</DocSecurity>
  <Lines>30</Lines>
  <Paragraphs>8</Paragraphs>
  <ScaleCrop>false</ScaleCrop>
  <Company>Microsoft</Company>
  <LinksUpToDate>false</LinksUpToDate>
  <CharactersWithSpaces>4224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HoangPC</dc:creator>
  <cp:keywords/>
  <dc:description/>
  <cp:lastModifiedBy>HoangPC</cp:lastModifiedBy>
  <cp:revision>6</cp:revision>
  <dcterms:created xsi:type="dcterms:W3CDTF">2017-02-24T00:38:00Z</dcterms:created>
  <dcterms:modified xsi:type="dcterms:W3CDTF">2017-02-24T00:52:00Z</dcterms:modified>
</cp:coreProperties>
</file>